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06E78502" w:rsidR="001C2E38" w:rsidRDefault="001C2E38"/>
    <w:p w14:paraId="7AE664AE" w14:textId="77777777" w:rsidR="00A62D3F" w:rsidRDefault="00A62D3F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0834D5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Nº </w:t>
            </w:r>
            <w:r w:rsidR="00691516">
              <w:rPr>
                <w:b/>
                <w:bCs/>
                <w:sz w:val="22"/>
                <w:szCs w:val="22"/>
              </w:rPr>
              <w:t>7</w:t>
            </w:r>
            <w:r w:rsidR="00250A8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Dec. </w:t>
            </w:r>
            <w:r w:rsidRPr="006529D8">
              <w:rPr>
                <w:rFonts w:eastAsia="Arial"/>
                <w:sz w:val="22"/>
                <w:szCs w:val="22"/>
              </w:rPr>
              <w:t>N°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9EB2DDC" w:rsidR="00C23023" w:rsidRPr="006529D8" w:rsidRDefault="00124E0F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PG.SA-10</w:t>
            </w:r>
            <w:r w:rsidR="00250A8B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6695B1EC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B5336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250A8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San Justo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124E0F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250A8B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Matanza</w:t>
            </w:r>
            <w:r w:rsidR="002A1F0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.</w:t>
            </w:r>
          </w:p>
          <w:p w14:paraId="648B4BC3" w14:textId="0F7BF7E7" w:rsidR="00290A44" w:rsidRPr="006529D8" w:rsidRDefault="00124E0F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6E80A936" w:rsidR="0057417D" w:rsidRPr="006529D8" w:rsidRDefault="00124E0F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250A8B">
              <w:rPr>
                <w:bCs/>
                <w:sz w:val="22"/>
                <w:szCs w:val="19"/>
                <w:lang w:val="es-AR"/>
              </w:rPr>
              <w:t>La Matanza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250A8B">
              <w:rPr>
                <w:bCs/>
                <w:sz w:val="22"/>
                <w:szCs w:val="19"/>
                <w:lang w:val="es-AR"/>
              </w:rPr>
              <w:t>Perú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N° 19</w:t>
            </w:r>
            <w:r w:rsidR="00250A8B">
              <w:rPr>
                <w:bCs/>
                <w:sz w:val="22"/>
                <w:szCs w:val="19"/>
                <w:lang w:val="es-AR"/>
              </w:rPr>
              <w:t>3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5 de la ciudad de </w:t>
            </w:r>
            <w:r w:rsidR="00250A8B">
              <w:rPr>
                <w:bCs/>
                <w:sz w:val="22"/>
                <w:szCs w:val="19"/>
                <w:lang w:val="es-AR"/>
              </w:rPr>
              <w:t>San Justo</w:t>
            </w:r>
            <w:r w:rsidRPr="00124E0F">
              <w:rPr>
                <w:bCs/>
                <w:sz w:val="22"/>
                <w:szCs w:val="19"/>
              </w:rPr>
              <w:t xml:space="preserve"> – 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C2B8CEE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C776A">
              <w:rPr>
                <w:rFonts w:eastAsia="Arial"/>
                <w:b/>
                <w:bCs/>
                <w:sz w:val="20"/>
                <w:szCs w:val="20"/>
              </w:rPr>
              <w:t>7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7C776A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01232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691516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70123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F026AB" w14:textId="77777777" w:rsidR="00250A8B" w:rsidRDefault="00250A8B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1DA7091C" w14:textId="77777777" w:rsidR="00E178D5" w:rsidRDefault="00250A8B" w:rsidP="00250A8B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bCs/>
                <w:sz w:val="22"/>
                <w:szCs w:val="19"/>
                <w:lang w:val="es-AR"/>
              </w:rPr>
              <w:t>La Matanza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. Calle </w:t>
            </w:r>
            <w:r>
              <w:rPr>
                <w:bCs/>
                <w:sz w:val="22"/>
                <w:szCs w:val="19"/>
                <w:lang w:val="es-AR"/>
              </w:rPr>
              <w:t>Perú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N° 19</w:t>
            </w:r>
            <w:r>
              <w:rPr>
                <w:bCs/>
                <w:sz w:val="22"/>
                <w:szCs w:val="19"/>
                <w:lang w:val="es-AR"/>
              </w:rPr>
              <w:t>3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5 de la ciudad de </w:t>
            </w:r>
            <w:r>
              <w:rPr>
                <w:bCs/>
                <w:sz w:val="22"/>
                <w:szCs w:val="19"/>
                <w:lang w:val="es-AR"/>
              </w:rPr>
              <w:t>San Justo</w:t>
            </w:r>
            <w:r w:rsidRPr="00124E0F">
              <w:rPr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6808335B" w:rsidR="00250A8B" w:rsidRPr="006529D8" w:rsidRDefault="00250A8B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16E6B60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7C776A">
              <w:rPr>
                <w:rFonts w:eastAsia="Arial"/>
                <w:b/>
                <w:bCs/>
                <w:sz w:val="20"/>
                <w:szCs w:val="20"/>
              </w:rPr>
              <w:t>7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7C776A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01232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70123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C77D962" w:rsidR="007F0F20" w:rsidRPr="006529D8" w:rsidRDefault="003C0F16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482C6F74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12095E6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PG.SA-10</w:t>
            </w:r>
            <w:r w:rsidR="00250A8B">
              <w:rPr>
                <w:rFonts w:eastAsia="Arial"/>
                <w:b/>
                <w:sz w:val="22"/>
                <w:szCs w:val="22"/>
              </w:rPr>
              <w:t>87</w:t>
            </w:r>
            <w:r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PESOS…………….………………………………………………………….…………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r w:rsidR="002B20A9" w:rsidRPr="006529D8">
              <w:t>……</w:t>
            </w:r>
            <w:r w:rsidR="006529D8">
              <w:t>.</w:t>
            </w:r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00DFB"/>
    <w:rsid w:val="001104E7"/>
    <w:rsid w:val="00124E0F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0A8B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A1F03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0F16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1516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1232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C776A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62D3F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53368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20FF2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1181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12</cp:revision>
  <cp:lastPrinted>2025-10-06T13:17:00Z</cp:lastPrinted>
  <dcterms:created xsi:type="dcterms:W3CDTF">2025-07-01T14:51:00Z</dcterms:created>
  <dcterms:modified xsi:type="dcterms:W3CDTF">2025-10-06T13:46:00Z</dcterms:modified>
</cp:coreProperties>
</file>